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Derslik, </w:t>
            </w: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spellEnd"/>
            <w:proofErr w:type="gramEnd"/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(İdari Oda, </w:t>
            </w: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  <w:r w:rsidRPr="00676AF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lastRenderedPageBreak/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>varsa</w:t>
            </w:r>
            <w:proofErr w:type="spellEnd"/>
            <w:proofErr w:type="gramEnd"/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rol için eylem planı” </w:t>
            </w:r>
            <w:proofErr w:type="spellStart"/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istenmelidir.İmkanlar</w:t>
            </w:r>
            <w:proofErr w:type="spellEnd"/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dahilinde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spell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edici</w:t>
            </w:r>
            <w:proofErr w:type="spellEnd"/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Asansör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girişindee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proofErr w:type="spellEnd"/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9A5E5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Asansör Bulunmamaktadır.</w:t>
            </w:r>
          </w:p>
        </w:tc>
        <w:tc>
          <w:tcPr>
            <w:tcW w:w="1225" w:type="dxa"/>
          </w:tcPr>
          <w:p w:rsidR="00EC5CA9" w:rsidRDefault="00EC5CA9" w:rsidP="00052F92"/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C5CA9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/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EC5CA9" w:rsidP="00052F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5" w:type="dxa"/>
          </w:tcPr>
          <w:p w:rsidR="00EC5CA9" w:rsidRDefault="00EC5CA9" w:rsidP="00052F92"/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zenli olarak temizlik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düzenlenmelidir.Havalandırma</w:t>
            </w:r>
            <w:proofErr w:type="spellEnd"/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sistemleri hijyen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93BCC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3BCC">
              <w:rPr>
                <w:rFonts w:asciiTheme="minorHAnsi" w:hAnsiTheme="minorHAnsi" w:cstheme="minorHAnsi"/>
                <w:b/>
                <w:sz w:val="20"/>
                <w:szCs w:val="20"/>
              </w:rPr>
              <w:t>Eğitim Kuruluşu Hizmet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Salgın hastalık dönemlerinde araçlarda klima iç hav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dolaşımının kapalı tutularak</w:t>
            </w:r>
            <w:r w:rsidRPr="00E70A9E">
              <w:rPr>
                <w:rFonts w:asciiTheme="minorHAnsi" w:hAnsiTheme="minorHAnsi" w:cstheme="minorHAnsi"/>
                <w:sz w:val="20"/>
                <w:szCs w:val="20"/>
              </w:rPr>
              <w:t>, mümkünse klima yerine doğal havalandırma tercih edilmesi sağla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6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sz w:val="20"/>
                <w:szCs w:val="20"/>
              </w:rPr>
              <w:t>Araçların klima hava filtre bakımı düzenli olarak yapılması ve takip edilmesi sağlan</w:t>
            </w:r>
            <w:r w:rsidR="00F56456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E70A9E" w:rsidRDefault="000454C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Araç içi oturma düzeni kişiler arasında uygun mesafe olacak şekilde düzenlenmeli ve dezenfeksiyon plan programlarına uygun şekilde temizlik ve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uygulamaları gerçekleştirilmelidir.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proofErr w:type="gramStart"/>
      <w:r w:rsidR="00FF4AD6" w:rsidRPr="00FF4AD6">
        <w:rPr>
          <w:b/>
        </w:rPr>
        <w:t xml:space="preserve">bölümler </w:t>
      </w:r>
      <w:r w:rsidR="0054162C" w:rsidRPr="00FF4AD6">
        <w:rPr>
          <w:b/>
        </w:rPr>
        <w:t xml:space="preserve"> formdan</w:t>
      </w:r>
      <w:proofErr w:type="gramEnd"/>
      <w:r w:rsidR="0054162C" w:rsidRPr="00FF4AD6">
        <w:rPr>
          <w:b/>
        </w:rPr>
        <w:t xml:space="preserve"> çıkartılacaktır.</w:t>
      </w:r>
    </w:p>
    <w:p w:rsidR="00702369" w:rsidRDefault="009A5E53" w:rsidP="00702369">
      <w:r>
        <w:t xml:space="preserve">            </w:t>
      </w:r>
      <w:r w:rsidR="00702369">
        <w:t>Planı hazırlayan</w:t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  <w:t xml:space="preserve">     Okul Müdürü</w:t>
      </w:r>
    </w:p>
    <w:p w:rsidR="00702369" w:rsidRDefault="009A5E53" w:rsidP="00702369">
      <w:r>
        <w:t xml:space="preserve">           </w:t>
      </w:r>
      <w:r w:rsidR="00702369">
        <w:t>Müdür Yardımcısı</w:t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  <w:t xml:space="preserve">               </w:t>
      </w:r>
      <w:r w:rsidR="00702369">
        <w:tab/>
      </w:r>
      <w:r>
        <w:t xml:space="preserve">                   Hasan TUNCA</w:t>
      </w:r>
      <w:r w:rsidR="00702369">
        <w:t xml:space="preserve">                                      </w:t>
      </w:r>
      <w:r>
        <w:t xml:space="preserve">    </w:t>
      </w:r>
      <w:r w:rsidR="00702369">
        <w:t xml:space="preserve"> </w:t>
      </w:r>
      <w:r>
        <w:tab/>
        <w:t>Eren ÖZDEMİR</w:t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</w:r>
      <w:r w:rsidR="00702369">
        <w:tab/>
      </w:r>
    </w:p>
    <w:p w:rsidR="00B51147" w:rsidRPr="00E61130" w:rsidRDefault="00B51147" w:rsidP="00052F92"/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2A" w:rsidRDefault="0007762A" w:rsidP="00CD4279">
      <w:pPr>
        <w:spacing w:after="0" w:line="240" w:lineRule="auto"/>
      </w:pPr>
      <w:r>
        <w:separator/>
      </w:r>
    </w:p>
  </w:endnote>
  <w:endnote w:type="continuationSeparator" w:id="0">
    <w:p w:rsidR="0007762A" w:rsidRDefault="0007762A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2A" w:rsidRDefault="0007762A" w:rsidP="00CD4279">
      <w:pPr>
        <w:spacing w:after="0" w:line="240" w:lineRule="auto"/>
      </w:pPr>
      <w:r>
        <w:separator/>
      </w:r>
    </w:p>
  </w:footnote>
  <w:footnote w:type="continuationSeparator" w:id="0">
    <w:p w:rsidR="0007762A" w:rsidRDefault="0007762A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4678"/>
      <w:gridCol w:w="3827"/>
    </w:tblGrid>
    <w:tr w:rsidR="00927B88" w:rsidRPr="009E7F10" w:rsidTr="000225B9">
      <w:trPr>
        <w:trHeight w:val="1418"/>
      </w:trPr>
      <w:tc>
        <w:tcPr>
          <w:tcW w:w="283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927B88" w:rsidRPr="009E7F10" w:rsidRDefault="00927B88" w:rsidP="00927B88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33" name="Resim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927B88" w:rsidRPr="00D8529E" w:rsidRDefault="00927B88" w:rsidP="00927B88">
          <w:pPr>
            <w:jc w:val="center"/>
            <w:rPr>
              <w:color w:val="000000"/>
            </w:rPr>
          </w:pPr>
          <w:r w:rsidRPr="00D8529E">
            <w:rPr>
              <w:color w:val="000000"/>
            </w:rPr>
            <w:t>TC.</w:t>
          </w:r>
        </w:p>
        <w:p w:rsidR="00927B88" w:rsidRPr="00D8529E" w:rsidRDefault="001817ED" w:rsidP="00927B88">
          <w:pPr>
            <w:jc w:val="center"/>
            <w:rPr>
              <w:rFonts w:ascii="Calibri" w:eastAsia="Calibri" w:hAnsi="Calibri"/>
              <w:color w:val="FF0000"/>
            </w:rPr>
          </w:pPr>
          <w:r>
            <w:rPr>
              <w:color w:val="000000"/>
            </w:rPr>
            <w:t xml:space="preserve">SİNCAN </w:t>
          </w:r>
          <w:r w:rsidR="00927B88" w:rsidRPr="00D8529E">
            <w:rPr>
              <w:color w:val="000000"/>
            </w:rPr>
            <w:t>KAYMAKAMLIĞI</w:t>
          </w:r>
        </w:p>
        <w:p w:rsidR="00927B88" w:rsidRPr="00D8529E" w:rsidRDefault="001817ED" w:rsidP="00927B88">
          <w:pPr>
            <w:jc w:val="center"/>
            <w:rPr>
              <w:color w:val="FF0000"/>
            </w:rPr>
          </w:pPr>
          <w:r>
            <w:t>İLÇE MİLLİ EĞİTİM MÜDÜRLÜĞÜ</w:t>
          </w:r>
        </w:p>
        <w:p w:rsidR="00927B88" w:rsidRPr="00D8529E" w:rsidRDefault="009A5E53" w:rsidP="00927B88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SİNCAN ADALET ÇOK PROGRAMLI </w:t>
          </w:r>
          <w:r w:rsidR="001817ED">
            <w:rPr>
              <w:color w:val="FF0000"/>
            </w:rPr>
            <w:t>ANADOLU LİSESİ</w:t>
          </w:r>
        </w:p>
        <w:p w:rsidR="008C754E" w:rsidRPr="008C754E" w:rsidRDefault="008C754E" w:rsidP="008C754E">
          <w:pPr>
            <w:spacing w:after="0" w:line="240" w:lineRule="auto"/>
            <w:jc w:val="center"/>
            <w:outlineLvl w:val="4"/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tr-TR"/>
            </w:rPr>
          </w:pPr>
          <w:r w:rsidRPr="008C754E">
            <w:rPr>
              <w:rFonts w:ascii="Arial" w:eastAsia="Times New Roman" w:hAnsi="Arial" w:cs="Arial"/>
              <w:b/>
              <w:bCs/>
              <w:color w:val="333333"/>
              <w:sz w:val="18"/>
              <w:szCs w:val="18"/>
              <w:lang w:eastAsia="tr-TR"/>
            </w:rPr>
            <w:t>Temizlik ve Dezenfeksiyon Planları/Talimatları</w:t>
          </w:r>
        </w:p>
        <w:p w:rsidR="00927B88" w:rsidRPr="00D8529E" w:rsidRDefault="00927B88" w:rsidP="00927B88">
          <w:pPr>
            <w:jc w:val="center"/>
            <w:rPr>
              <w:color w:val="000000"/>
            </w:rPr>
          </w:pP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927B88" w:rsidRPr="00D8529E" w:rsidRDefault="00927B88" w:rsidP="00927B88">
          <w:r w:rsidRPr="00D8529E">
            <w:t>Doküman No:</w:t>
          </w:r>
          <w:r>
            <w:t xml:space="preserve"> PL-06</w:t>
          </w:r>
        </w:p>
        <w:p w:rsidR="00927B88" w:rsidRPr="00D8529E" w:rsidRDefault="00927B88" w:rsidP="00927B88">
          <w:pPr>
            <w:rPr>
              <w:color w:val="FF0000"/>
            </w:rPr>
          </w:pPr>
          <w:r w:rsidRPr="00D8529E">
            <w:t xml:space="preserve">Yayın Tarihi: 2020 </w:t>
          </w:r>
          <w:r w:rsidRPr="00D8529E">
            <w:rPr>
              <w:color w:val="FF0000"/>
            </w:rPr>
            <w:t>( İLK BAŞVURU TARİHİ YAZILACAK)</w:t>
          </w:r>
        </w:p>
        <w:p w:rsidR="00927B88" w:rsidRPr="00D8529E" w:rsidRDefault="00927B88" w:rsidP="00927B88">
          <w:r w:rsidRPr="00D8529E">
            <w:t>Revizyon Tarihi:</w:t>
          </w:r>
          <w:r w:rsidR="00363A01">
            <w:t xml:space="preserve"> </w:t>
          </w:r>
          <w:r w:rsidR="00363A01" w:rsidRPr="00363A01">
            <w:t>03.07.2023</w:t>
          </w:r>
        </w:p>
        <w:p w:rsidR="00927B88" w:rsidRPr="00D8529E" w:rsidRDefault="00927B88" w:rsidP="00927B88">
          <w:r w:rsidRPr="00D8529E">
            <w:t>Revizyon Sayısı:2</w:t>
          </w:r>
        </w:p>
        <w:p w:rsidR="00927B88" w:rsidRPr="00D8529E" w:rsidRDefault="00927B88" w:rsidP="00927B88">
          <w:r>
            <w:t>Sayfa Sayısı:9</w:t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7762A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17D46"/>
    <w:rsid w:val="00153644"/>
    <w:rsid w:val="00154793"/>
    <w:rsid w:val="00162D5F"/>
    <w:rsid w:val="00163BF8"/>
    <w:rsid w:val="00165BEE"/>
    <w:rsid w:val="0017664A"/>
    <w:rsid w:val="001817ED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63A01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2369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07D0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9644D"/>
    <w:rsid w:val="008A6744"/>
    <w:rsid w:val="008B137F"/>
    <w:rsid w:val="008C1BDF"/>
    <w:rsid w:val="008C754E"/>
    <w:rsid w:val="008D18C0"/>
    <w:rsid w:val="008D6772"/>
    <w:rsid w:val="008F52C4"/>
    <w:rsid w:val="008F59BF"/>
    <w:rsid w:val="00927B88"/>
    <w:rsid w:val="00937D59"/>
    <w:rsid w:val="009547CB"/>
    <w:rsid w:val="00963494"/>
    <w:rsid w:val="009A5E53"/>
    <w:rsid w:val="009B4BF0"/>
    <w:rsid w:val="009C6204"/>
    <w:rsid w:val="009F2E91"/>
    <w:rsid w:val="009F6DE1"/>
    <w:rsid w:val="009F7E75"/>
    <w:rsid w:val="00A16398"/>
    <w:rsid w:val="00A25FA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5296D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5729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DD5B64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419D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paragraph" w:styleId="Balk5">
    <w:name w:val="heading 5"/>
    <w:basedOn w:val="Normal"/>
    <w:link w:val="Balk5Char"/>
    <w:uiPriority w:val="9"/>
    <w:qFormat/>
    <w:rsid w:val="008C75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character" w:customStyle="1" w:styleId="Balk5Char">
    <w:name w:val="Başlık 5 Char"/>
    <w:basedOn w:val="VarsaylanParagrafYazTipi"/>
    <w:link w:val="Balk5"/>
    <w:uiPriority w:val="9"/>
    <w:rsid w:val="008C754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59"/>
  </w:style>
  <w:style w:type="paragraph" w:styleId="Balk5">
    <w:name w:val="heading 5"/>
    <w:basedOn w:val="Normal"/>
    <w:link w:val="Balk5Char"/>
    <w:uiPriority w:val="9"/>
    <w:qFormat/>
    <w:rsid w:val="008C75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character" w:customStyle="1" w:styleId="Balk5Char">
    <w:name w:val="Başlık 5 Char"/>
    <w:basedOn w:val="VarsaylanParagrafYazTipi"/>
    <w:link w:val="Balk5"/>
    <w:uiPriority w:val="9"/>
    <w:rsid w:val="008C754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USER</cp:lastModifiedBy>
  <cp:revision>6</cp:revision>
  <cp:lastPrinted>2021-06-17T09:32:00Z</cp:lastPrinted>
  <dcterms:created xsi:type="dcterms:W3CDTF">2023-09-11T11:15:00Z</dcterms:created>
  <dcterms:modified xsi:type="dcterms:W3CDTF">2023-09-11T12:13:00Z</dcterms:modified>
</cp:coreProperties>
</file>